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pBdr>
          <w:top w:val="nil"/>
          <w:left w:val="nil"/>
          <w:bottom w:val="nil"/>
          <w:right w:val="nil"/>
          <w:between w:val="nil"/>
        </w:pBdr>
        <w:spacing w:line="240" w:lineRule="auto"/>
        <w:ind w:left="3933"/>
        <w:rPr>
          <w:rFonts w:ascii="Times New Roman" w:eastAsia="Times New Roman" w:hAnsi="Times New Roman" w:cs="Times New Roman"/>
          <w:b/>
          <w:bCs/>
          <w:color w:val="1F1F1F"/>
          <w:sz w:val="28"/>
          <w:szCs w:val="28"/>
        </w:rPr>
      </w:pPr>
      <w:bookmarkStart w:id="0" w:name="_GoBack"/>
      <w:bookmarkEnd w:id="0"/>
      <w:r>
        <w:rPr>
          <w:rFonts w:ascii="Times New Roman" w:eastAsia="Times New Roman" w:hAnsi="Times New Roman" w:cs="Times New Roman"/>
          <w:b/>
          <w:bCs/>
          <w:color w:val="1F1F1F"/>
          <w:sz w:val="28"/>
          <w:szCs w:val="28"/>
        </w:rPr>
        <w:t xml:space="preserve">Phụ lục VIII </w:t>
      </w:r>
    </w:p>
    <w:p>
      <w:pPr>
        <w:widowControl w:val="0"/>
        <w:pBdr>
          <w:top w:val="nil"/>
          <w:left w:val="nil"/>
          <w:bottom w:val="nil"/>
          <w:right w:val="nil"/>
          <w:between w:val="nil"/>
        </w:pBdr>
        <w:spacing w:before="126" w:line="230" w:lineRule="auto"/>
        <w:ind w:left="479" w:right="90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VỀ ƯỚC TÍNH ĐẦU TƯ XÃ HỘI CHO KHOA HỌC, CÔNG NGHỆ, ĐỔI MỚI SÁNG TẠO VÀ CHUYỂN ĐỔI SỐ TẠI VIỆT NAM </w:t>
      </w:r>
    </w:p>
    <w:p>
      <w:pPr>
        <w:widowControl w:val="0"/>
        <w:pBdr>
          <w:top w:val="nil"/>
          <w:left w:val="nil"/>
          <w:bottom w:val="nil"/>
          <w:right w:val="nil"/>
          <w:between w:val="nil"/>
        </w:pBdr>
        <w:spacing w:before="326" w:line="240" w:lineRule="auto"/>
        <w:ind w:left="1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 Khái quát chung </w:t>
      </w:r>
    </w:p>
    <w:p>
      <w:pPr>
        <w:widowControl w:val="0"/>
        <w:pBdr>
          <w:top w:val="nil"/>
          <w:left w:val="nil"/>
          <w:bottom w:val="nil"/>
          <w:right w:val="nil"/>
          <w:between w:val="nil"/>
        </w:pBdr>
        <w:spacing w:line="228" w:lineRule="auto"/>
        <w:ind w:left="10" w:right="364"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Mục tiêu báo cáo: Hình thành bức tranh ước tính về quy mô và cơ cấu đầu tư  xã hội cho ba nhóm lĩnh vực: Khoa học, công nghệ (KHCN); Đổi mới sáng tạo  (ĐMST); Chuyển đổi số (CĐS) trong năm 2024, phục vụ tham mưu, điều hành và  xác định trọng tâm chính sách. </w:t>
      </w:r>
    </w:p>
    <w:p>
      <w:pPr>
        <w:widowControl w:val="0"/>
        <w:pBdr>
          <w:top w:val="nil"/>
          <w:left w:val="nil"/>
          <w:bottom w:val="nil"/>
          <w:right w:val="nil"/>
          <w:between w:val="nil"/>
        </w:pBdr>
        <w:spacing w:before="9" w:line="229" w:lineRule="auto"/>
        <w:ind w:left="10" w:right="364" w:firstLine="7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Tính chất số liệu: Do hạn chế về phân loại thống kê và dữ liệu phân tán giữa  nhiều hệ thống, báo cáo này sử dụng cách tiếp cận “tài khoản vệ tinh” (satellite  account) theo thông lệ quốc tế, kết hợp số liệu công bố và một số tham số nội suy  thận trọng. </w:t>
      </w:r>
    </w:p>
    <w:p>
      <w:pPr>
        <w:widowControl w:val="0"/>
        <w:pBdr>
          <w:top w:val="nil"/>
          <w:left w:val="nil"/>
          <w:bottom w:val="nil"/>
          <w:right w:val="nil"/>
          <w:between w:val="nil"/>
        </w:pBdr>
        <w:spacing w:before="6" w:line="228" w:lineRule="auto"/>
        <w:ind w:left="9" w:right="365" w:firstLine="7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Kết quả trong báo cáo là ước tính phục vụ tham mưu, xây dựng kịch bản,  không thay thế số liệu thống kê chính thức. </w:t>
      </w:r>
    </w:p>
    <w:p>
      <w:pPr>
        <w:widowControl w:val="0"/>
        <w:pBdr>
          <w:top w:val="nil"/>
          <w:left w:val="nil"/>
          <w:bottom w:val="nil"/>
          <w:right w:val="nil"/>
          <w:between w:val="nil"/>
        </w:pBdr>
        <w:spacing w:before="14" w:line="240" w:lineRule="auto"/>
        <w:ind w:left="1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II. Khái niệm, phạm vi và nguyên tắc đo lường </w:t>
      </w:r>
    </w:p>
    <w:p>
      <w:pPr>
        <w:widowControl w:val="0"/>
        <w:pBdr>
          <w:top w:val="nil"/>
          <w:left w:val="nil"/>
          <w:bottom w:val="nil"/>
          <w:right w:val="nil"/>
          <w:between w:val="nil"/>
        </w:pBdr>
        <w:spacing w:line="240" w:lineRule="auto"/>
        <w:ind w:left="2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Khái niệm “đầu tư xã hội” trong báo cáo </w:t>
      </w:r>
    </w:p>
    <w:p>
      <w:pPr>
        <w:widowControl w:val="0"/>
        <w:pBdr>
          <w:top w:val="nil"/>
          <w:left w:val="nil"/>
          <w:bottom w:val="nil"/>
          <w:right w:val="nil"/>
          <w:between w:val="nil"/>
        </w:pBdr>
        <w:spacing w:line="240" w:lineRule="auto"/>
        <w:ind w:left="7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Báo cáo sử dụng cách hiểu theo nghĩa rộng, gồm hai lớp: </w:t>
      </w:r>
    </w:p>
    <w:p>
      <w:pPr>
        <w:widowControl w:val="0"/>
        <w:pBdr>
          <w:top w:val="nil"/>
          <w:left w:val="nil"/>
          <w:bottom w:val="nil"/>
          <w:right w:val="nil"/>
          <w:between w:val="nil"/>
        </w:pBdr>
        <w:spacing w:line="229" w:lineRule="auto"/>
        <w:ind w:left="9" w:right="364" w:firstLine="72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Đầu tư tài sản (investment/capital formation)</w:t>
      </w:r>
      <w:r>
        <w:rPr>
          <w:rFonts w:ascii="Times New Roman" w:eastAsia="Times New Roman" w:hAnsi="Times New Roman" w:cs="Times New Roman"/>
          <w:color w:val="000000"/>
          <w:sz w:val="28"/>
          <w:szCs w:val="28"/>
        </w:rPr>
        <w:t xml:space="preserve">: đầu tư tạo lập tài sản hữu  hình và một phần </w:t>
      </w:r>
      <w:r>
        <w:rPr>
          <w:rFonts w:ascii="Times New Roman" w:eastAsia="Times New Roman" w:hAnsi="Times New Roman" w:cs="Times New Roman"/>
          <w:b/>
          <w:bCs/>
          <w:color w:val="000000"/>
          <w:sz w:val="28"/>
          <w:szCs w:val="28"/>
        </w:rPr>
        <w:t xml:space="preserve">tài sản trí tuệ </w:t>
      </w:r>
      <w:r>
        <w:rPr>
          <w:rFonts w:ascii="Times New Roman" w:eastAsia="Times New Roman" w:hAnsi="Times New Roman" w:cs="Times New Roman"/>
          <w:color w:val="000000"/>
          <w:sz w:val="28"/>
          <w:szCs w:val="28"/>
        </w:rPr>
        <w:t xml:space="preserve">(intellectual property products) như </w:t>
      </w:r>
      <w:r>
        <w:rPr>
          <w:rFonts w:ascii="Times New Roman" w:eastAsia="Times New Roman" w:hAnsi="Times New Roman" w:cs="Times New Roman"/>
          <w:b/>
          <w:bCs/>
          <w:color w:val="000000"/>
          <w:sz w:val="28"/>
          <w:szCs w:val="28"/>
        </w:rPr>
        <w:t xml:space="preserve">nghiên cứu và  phát triển </w:t>
      </w:r>
      <w:r>
        <w:rPr>
          <w:rFonts w:ascii="Times New Roman" w:eastAsia="Times New Roman" w:hAnsi="Times New Roman" w:cs="Times New Roman"/>
          <w:color w:val="000000"/>
          <w:sz w:val="28"/>
          <w:szCs w:val="28"/>
        </w:rPr>
        <w:t xml:space="preserve">(Research and Development – </w:t>
      </w:r>
      <w:r>
        <w:rPr>
          <w:rFonts w:ascii="Times New Roman" w:eastAsia="Times New Roman" w:hAnsi="Times New Roman" w:cs="Times New Roman"/>
          <w:b/>
          <w:bCs/>
          <w:color w:val="000000"/>
          <w:sz w:val="28"/>
          <w:szCs w:val="28"/>
        </w:rPr>
        <w:t>R&amp;D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phần mềm và cơ sở dữ liệu </w:t>
      </w:r>
      <w:r>
        <w:rPr>
          <w:rFonts w:ascii="Times New Roman" w:eastAsia="Times New Roman" w:hAnsi="Times New Roman" w:cs="Times New Roman"/>
          <w:color w:val="000000"/>
          <w:sz w:val="28"/>
          <w:szCs w:val="28"/>
        </w:rPr>
        <w:t xml:space="preserve">(software &amp; databases). </w:t>
      </w:r>
    </w:p>
    <w:p>
      <w:pPr>
        <w:widowControl w:val="0"/>
        <w:pBdr>
          <w:top w:val="nil"/>
          <w:left w:val="nil"/>
          <w:bottom w:val="nil"/>
          <w:right w:val="nil"/>
          <w:between w:val="nil"/>
        </w:pBdr>
        <w:spacing w:before="6" w:line="230" w:lineRule="auto"/>
        <w:ind w:left="10" w:right="364" w:firstLine="72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Nguồn lực tài chính cho đổi mới </w:t>
      </w:r>
      <w:r>
        <w:rPr>
          <w:rFonts w:ascii="Times New Roman" w:eastAsia="Times New Roman" w:hAnsi="Times New Roman" w:cs="Times New Roman"/>
          <w:color w:val="000000"/>
          <w:sz w:val="28"/>
          <w:szCs w:val="28"/>
        </w:rPr>
        <w:t xml:space="preserve">như </w:t>
      </w:r>
      <w:r>
        <w:rPr>
          <w:rFonts w:ascii="Times New Roman" w:eastAsia="Times New Roman" w:hAnsi="Times New Roman" w:cs="Times New Roman"/>
          <w:b/>
          <w:bCs/>
          <w:color w:val="000000"/>
          <w:sz w:val="28"/>
          <w:szCs w:val="28"/>
        </w:rPr>
        <w:t xml:space="preserve">đầu tư mạo hiểm </w:t>
      </w:r>
      <w:r>
        <w:rPr>
          <w:rFonts w:ascii="Times New Roman" w:eastAsia="Times New Roman" w:hAnsi="Times New Roman" w:cs="Times New Roman"/>
          <w:color w:val="000000"/>
          <w:sz w:val="28"/>
          <w:szCs w:val="28"/>
        </w:rPr>
        <w:t xml:space="preserve">(venture capital – </w:t>
      </w:r>
      <w:r>
        <w:rPr>
          <w:rFonts w:ascii="Times New Roman" w:eastAsia="Times New Roman" w:hAnsi="Times New Roman" w:cs="Times New Roman"/>
          <w:b/>
          <w:bCs/>
          <w:color w:val="000000"/>
          <w:sz w:val="28"/>
          <w:szCs w:val="28"/>
        </w:rPr>
        <w:t>VC</w:t>
      </w:r>
      <w:r>
        <w:rPr>
          <w:rFonts w:ascii="Times New Roman" w:eastAsia="Times New Roman" w:hAnsi="Times New Roman" w:cs="Times New Roman"/>
          <w:color w:val="000000"/>
          <w:sz w:val="28"/>
          <w:szCs w:val="28"/>
        </w:rPr>
        <w:t xml:space="preserve">) để phản ánh động lực ĐMST; lưu ý VC không đồng nhất hoàn toàn với “đầu  tư tài sản” nhưng cần thiết để nhận diện nguồn lực của hệ sinh thái đổi mới. </w:t>
      </w:r>
      <w:r>
        <w:rPr>
          <w:rFonts w:ascii="Times New Roman" w:eastAsia="Times New Roman" w:hAnsi="Times New Roman" w:cs="Times New Roman"/>
          <w:b/>
          <w:bCs/>
          <w:color w:val="000000"/>
          <w:sz w:val="28"/>
          <w:szCs w:val="28"/>
        </w:rPr>
        <w:t xml:space="preserve">2. Nguyên tắc tách bạch và chống trùng lặp </w:t>
      </w:r>
    </w:p>
    <w:p>
      <w:pPr>
        <w:widowControl w:val="0"/>
        <w:pBdr>
          <w:top w:val="nil"/>
          <w:left w:val="nil"/>
          <w:bottom w:val="nil"/>
          <w:right w:val="nil"/>
          <w:between w:val="nil"/>
        </w:pBdr>
        <w:spacing w:line="228" w:lineRule="auto"/>
        <w:ind w:left="20" w:right="365" w:firstLine="71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Không trộn </w:t>
      </w:r>
      <w:r>
        <w:rPr>
          <w:rFonts w:ascii="Times New Roman" w:eastAsia="Times New Roman" w:hAnsi="Times New Roman" w:cs="Times New Roman"/>
          <w:color w:val="000000"/>
          <w:sz w:val="28"/>
          <w:szCs w:val="28"/>
        </w:rPr>
        <w:t xml:space="preserve">“đầu tư (CAPEX – capital expenditure)” với “chi vận hành  (OPEX – operating expenditure)”. </w:t>
      </w:r>
    </w:p>
    <w:p>
      <w:pPr>
        <w:widowControl w:val="0"/>
        <w:pBdr>
          <w:top w:val="nil"/>
          <w:left w:val="nil"/>
          <w:bottom w:val="nil"/>
          <w:right w:val="nil"/>
          <w:between w:val="nil"/>
        </w:pBdr>
        <w:spacing w:before="9" w:line="228" w:lineRule="auto"/>
        <w:ind w:left="12" w:right="364" w:firstLine="72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Không cộng gộp trực tiếp </w:t>
      </w:r>
      <w:r>
        <w:rPr>
          <w:rFonts w:ascii="Times New Roman" w:eastAsia="Times New Roman" w:hAnsi="Times New Roman" w:cs="Times New Roman"/>
          <w:color w:val="000000"/>
          <w:sz w:val="28"/>
          <w:szCs w:val="28"/>
        </w:rPr>
        <w:t xml:space="preserve">“tổng chi ngân sách nhà nước” vào “tổng vốn  đầu tư thực hiện toàn xã hội” nếu không quy đổi về cùng bản chất và không có cơ  chế đối chiếu. </w:t>
      </w:r>
    </w:p>
    <w:p>
      <w:pPr>
        <w:widowControl w:val="0"/>
        <w:pBdr>
          <w:top w:val="nil"/>
          <w:left w:val="nil"/>
          <w:bottom w:val="nil"/>
          <w:right w:val="nil"/>
          <w:between w:val="nil"/>
        </w:pBdr>
        <w:spacing w:before="6" w:line="229" w:lineRule="auto"/>
        <w:ind w:left="10" w:right="364" w:firstLine="7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Đối với KHCN–ĐMST: sử dụng </w:t>
      </w:r>
      <w:r>
        <w:rPr>
          <w:rFonts w:ascii="Times New Roman" w:eastAsia="Times New Roman" w:hAnsi="Times New Roman" w:cs="Times New Roman"/>
          <w:b/>
          <w:bCs/>
          <w:color w:val="000000"/>
          <w:sz w:val="28"/>
          <w:szCs w:val="28"/>
        </w:rPr>
        <w:t xml:space="preserve">tổng chi trong nước cho R&amp;D </w:t>
      </w:r>
      <w:r>
        <w:rPr>
          <w:rFonts w:ascii="Times New Roman" w:eastAsia="Times New Roman" w:hAnsi="Times New Roman" w:cs="Times New Roman"/>
          <w:color w:val="000000"/>
          <w:sz w:val="28"/>
          <w:szCs w:val="28"/>
        </w:rPr>
        <w:t xml:space="preserve">(GERD – Gross Domestic Expenditure on R&amp;D) làm đại diện cho “đầu tư tri thức”, tránh đếm  trùng giữa chi NSNN và chi của khu vực doanh nghiệp trong R&amp;D. </w:t>
      </w:r>
    </w:p>
    <w:p>
      <w:pPr>
        <w:widowControl w:val="0"/>
        <w:pBdr>
          <w:top w:val="nil"/>
          <w:left w:val="nil"/>
          <w:bottom w:val="nil"/>
          <w:right w:val="nil"/>
          <w:between w:val="nil"/>
        </w:pBdr>
        <w:spacing w:before="8" w:line="230" w:lineRule="auto"/>
        <w:ind w:left="12" w:right="364" w:firstLine="725"/>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Đối với CĐS: ưu tiên các cấu phần có thể quy về </w:t>
      </w:r>
      <w:r>
        <w:rPr>
          <w:rFonts w:ascii="Times New Roman" w:eastAsia="Times New Roman" w:hAnsi="Times New Roman" w:cs="Times New Roman"/>
          <w:b/>
          <w:bCs/>
          <w:color w:val="000000"/>
          <w:sz w:val="28"/>
          <w:szCs w:val="28"/>
        </w:rPr>
        <w:t xml:space="preserve">đầu tư tài sản </w:t>
      </w:r>
      <w:r>
        <w:rPr>
          <w:rFonts w:ascii="Times New Roman" w:eastAsia="Times New Roman" w:hAnsi="Times New Roman" w:cs="Times New Roman"/>
          <w:color w:val="000000"/>
          <w:sz w:val="28"/>
          <w:szCs w:val="28"/>
        </w:rPr>
        <w:t xml:space="preserve">(hạ tầng  viễn thông; phần mềm và cơ sở dữ liệu; đầu tư công cho hạ tầng số). </w:t>
      </w:r>
      <w:r>
        <w:rPr>
          <w:rFonts w:ascii="Times New Roman" w:eastAsia="Times New Roman" w:hAnsi="Times New Roman" w:cs="Times New Roman"/>
          <w:b/>
          <w:bCs/>
          <w:color w:val="000000"/>
          <w:sz w:val="28"/>
          <w:szCs w:val="28"/>
        </w:rPr>
        <w:t xml:space="preserve">III. Nguồn dữ liệu và tham số sử dụng </w:t>
      </w:r>
    </w:p>
    <w:p>
      <w:pPr>
        <w:widowControl w:val="0"/>
        <w:pBdr>
          <w:top w:val="nil"/>
          <w:left w:val="nil"/>
          <w:bottom w:val="nil"/>
          <w:right w:val="nil"/>
          <w:between w:val="nil"/>
        </w:pBdr>
        <w:spacing w:before="4" w:line="240" w:lineRule="auto"/>
        <w:ind w:left="2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Số liệu theo thống kê sử dụng (năm 2024) </w:t>
      </w:r>
    </w:p>
    <w:p>
      <w:pPr>
        <w:widowControl w:val="0"/>
        <w:pBdr>
          <w:top w:val="nil"/>
          <w:left w:val="nil"/>
          <w:bottom w:val="nil"/>
          <w:right w:val="nil"/>
          <w:between w:val="nil"/>
        </w:pBdr>
        <w:spacing w:line="228" w:lineRule="auto"/>
        <w:ind w:left="14" w:right="364" w:firstLine="7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Tổng vốn đầu tư thực hiện toàn xã hội: 3.692,1 nghìn tỷ đồng (dùng để đối  chiếu tỷ trọng). </w:t>
      </w:r>
    </w:p>
    <w:p>
      <w:pPr>
        <w:widowControl w:val="0"/>
        <w:pBdr>
          <w:top w:val="nil"/>
          <w:left w:val="nil"/>
          <w:bottom w:val="nil"/>
          <w:right w:val="nil"/>
          <w:between w:val="nil"/>
        </w:pBdr>
        <w:spacing w:before="6" w:line="240" w:lineRule="auto"/>
        <w:ind w:left="7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GDP danh nghĩa: 11.511,9 nghìn tỷ đồng. </w:t>
      </w:r>
    </w:p>
    <w:p>
      <w:pPr>
        <w:widowControl w:val="0"/>
        <w:pBdr>
          <w:top w:val="nil"/>
          <w:left w:val="nil"/>
          <w:bottom w:val="nil"/>
          <w:right w:val="nil"/>
          <w:between w:val="nil"/>
        </w:pBdr>
        <w:spacing w:line="229" w:lineRule="auto"/>
        <w:ind w:left="20" w:right="364" w:firstLine="7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FDI thực hiện: 25,35 tỷ USD; trong đó chế biến, chế tạo 20,62 tỷ USD  (81,4%). </w:t>
      </w:r>
    </w:p>
    <w:p>
      <w:pPr>
        <w:widowControl w:val="0"/>
        <w:pBdr>
          <w:top w:val="nil"/>
          <w:left w:val="nil"/>
          <w:bottom w:val="nil"/>
          <w:right w:val="nil"/>
          <w:between w:val="nil"/>
        </w:pBdr>
        <w:spacing w:before="6" w:line="240" w:lineRule="auto"/>
        <w:ind w:left="7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Doanh thu dịch vụ viễn thông: khoảng 147.000 tỷ đồng.</w:t>
      </w:r>
    </w:p>
    <w:p>
      <w:pPr>
        <w:widowControl w:val="0"/>
        <w:pBdr>
          <w:top w:val="nil"/>
          <w:left w:val="nil"/>
          <w:bottom w:val="nil"/>
          <w:right w:val="nil"/>
          <w:between w:val="nil"/>
        </w:pBdr>
        <w:spacing w:line="240" w:lineRule="auto"/>
        <w:ind w:left="7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Chi đầu tư phát triển NSNN: 529,1 nghìn tỷ đồng. </w:t>
      </w:r>
    </w:p>
    <w:p>
      <w:pPr>
        <w:widowControl w:val="0"/>
        <w:pBdr>
          <w:top w:val="nil"/>
          <w:left w:val="nil"/>
          <w:bottom w:val="nil"/>
          <w:right w:val="nil"/>
          <w:between w:val="nil"/>
        </w:pBdr>
        <w:spacing w:line="228" w:lineRule="auto"/>
        <w:ind w:left="10" w:right="364" w:firstLine="7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Vốn cho khởi nghiệp công nghệ năm 2024: khoảng 372 triệu USD (số liệu  </w:t>
      </w:r>
      <w:r>
        <w:rPr>
          <w:rFonts w:ascii="Times New Roman" w:eastAsia="Times New Roman" w:hAnsi="Times New Roman" w:cs="Times New Roman"/>
          <w:color w:val="000000"/>
          <w:sz w:val="28"/>
          <w:szCs w:val="28"/>
        </w:rPr>
        <w:lastRenderedPageBreak/>
        <w:t xml:space="preserve">tổng hợp thị trường). </w:t>
      </w:r>
    </w:p>
    <w:p>
      <w:pPr>
        <w:widowControl w:val="0"/>
        <w:pBdr>
          <w:top w:val="nil"/>
          <w:left w:val="nil"/>
          <w:bottom w:val="nil"/>
          <w:right w:val="nil"/>
          <w:between w:val="nil"/>
        </w:pBdr>
        <w:spacing w:before="11" w:line="240" w:lineRule="auto"/>
        <w:ind w:left="1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Tham số nội suy </w:t>
      </w:r>
    </w:p>
    <w:p>
      <w:pPr>
        <w:widowControl w:val="0"/>
        <w:pBdr>
          <w:top w:val="nil"/>
          <w:left w:val="nil"/>
          <w:bottom w:val="nil"/>
          <w:right w:val="nil"/>
          <w:between w:val="nil"/>
        </w:pBdr>
        <w:spacing w:line="240" w:lineRule="auto"/>
        <w:ind w:left="7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Tỷ lệ “FDI công nghệ cao” trong FDI chế biến, chế tạo: 55%. </w:t>
      </w:r>
    </w:p>
    <w:p>
      <w:pPr>
        <w:widowControl w:val="0"/>
        <w:pBdr>
          <w:top w:val="nil"/>
          <w:left w:val="nil"/>
          <w:bottom w:val="nil"/>
          <w:right w:val="nil"/>
          <w:between w:val="nil"/>
        </w:pBdr>
        <w:spacing w:line="228" w:lineRule="auto"/>
        <w:ind w:left="38" w:right="365" w:firstLine="6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Cường độ đầu tư viễn thông (CAPEX/doanh thu): 17% (tham chiếu vùng  15–20% theo thực hành ngành). </w:t>
      </w:r>
    </w:p>
    <w:p>
      <w:pPr>
        <w:widowControl w:val="0"/>
        <w:pBdr>
          <w:top w:val="nil"/>
          <w:left w:val="nil"/>
          <w:bottom w:val="nil"/>
          <w:right w:val="nil"/>
          <w:between w:val="nil"/>
        </w:pBdr>
        <w:spacing w:before="9" w:line="229" w:lineRule="auto"/>
        <w:ind w:left="12" w:right="365" w:firstLine="725"/>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Tỷ lệ phân bổ chi đầu tư phát triển cho CĐS khu vực công và hạ tầng nghiên  cứu: 3%. Trong đó tạm phân bổ: 70% CĐS khu vực công, 30% hạ tầng nghiên cứu. - Đầu tư phần mềm và cơ sở dữ liệu: 0,6% GDP (</w:t>
      </w:r>
      <w:r>
        <w:rPr>
          <w:rFonts w:ascii="Times New Roman" w:eastAsia="Times New Roman" w:hAnsi="Times New Roman" w:cs="Times New Roman"/>
          <w:i/>
          <w:iCs/>
          <w:color w:val="000000"/>
          <w:sz w:val="28"/>
          <w:szCs w:val="28"/>
        </w:rPr>
        <w:t>tham số thận trọng</w:t>
      </w:r>
      <w:r>
        <w:rPr>
          <w:rFonts w:ascii="Times New Roman" w:eastAsia="Times New Roman" w:hAnsi="Times New Roman" w:cs="Times New Roman"/>
          <w:color w:val="000000"/>
          <w:sz w:val="28"/>
          <w:szCs w:val="28"/>
        </w:rPr>
        <w:t xml:space="preserve">). - Tỷ giá quy đổi phục vụ tính toán: sử dụng tỷ giá ước tính khoảng 24.200  đồng/USD (suy ra từ các phép quy đổi nội bộ giữa các cấu phần). </w:t>
      </w:r>
      <w:r>
        <w:rPr>
          <w:rFonts w:ascii="Times New Roman" w:eastAsia="Times New Roman" w:hAnsi="Times New Roman" w:cs="Times New Roman"/>
          <w:b/>
          <w:bCs/>
          <w:color w:val="000000"/>
          <w:sz w:val="28"/>
          <w:szCs w:val="28"/>
        </w:rPr>
        <w:t xml:space="preserve">IV. Phương pháp tính và cấu phần ước tính </w:t>
      </w:r>
    </w:p>
    <w:p>
      <w:pPr>
        <w:widowControl w:val="0"/>
        <w:pBdr>
          <w:top w:val="nil"/>
          <w:left w:val="nil"/>
          <w:bottom w:val="nil"/>
          <w:right w:val="nil"/>
          <w:between w:val="nil"/>
        </w:pBdr>
        <w:spacing w:before="3" w:line="228" w:lineRule="auto"/>
        <w:ind w:left="14" w:right="364" w:firstLine="71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Báo cáo sử dụng phương pháp “tiếp cận theo cấu phần”, tổng hợp 08 cấu phần  chính: </w:t>
      </w:r>
    </w:p>
    <w:p>
      <w:pPr>
        <w:widowControl w:val="0"/>
        <w:pBdr>
          <w:top w:val="nil"/>
          <w:left w:val="nil"/>
          <w:bottom w:val="nil"/>
          <w:right w:val="nil"/>
          <w:between w:val="nil"/>
        </w:pBdr>
        <w:spacing w:before="11" w:line="240" w:lineRule="auto"/>
        <w:ind w:left="2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Nhóm KHCN – ĐMST </w:t>
      </w:r>
    </w:p>
    <w:p>
      <w:pPr>
        <w:widowControl w:val="0"/>
        <w:pBdr>
          <w:top w:val="nil"/>
          <w:left w:val="nil"/>
          <w:bottom w:val="nil"/>
          <w:right w:val="nil"/>
          <w:between w:val="nil"/>
        </w:pBdr>
        <w:spacing w:line="240" w:lineRule="auto"/>
        <w:ind w:lef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Chi cho R&amp;D toàn xã hội (GERD) </w:t>
      </w:r>
    </w:p>
    <w:p>
      <w:pPr>
        <w:widowControl w:val="0"/>
        <w:pBdr>
          <w:top w:val="nil"/>
          <w:left w:val="nil"/>
          <w:bottom w:val="nil"/>
          <w:right w:val="nil"/>
          <w:between w:val="nil"/>
        </w:pBdr>
        <w:spacing w:line="240" w:lineRule="auto"/>
        <w:ind w:left="73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GERD = GDP × (tỷ lệ R&amp;D/GDP) </w:t>
      </w:r>
    </w:p>
    <w:p>
      <w:pPr>
        <w:widowControl w:val="0"/>
        <w:pBdr>
          <w:top w:val="nil"/>
          <w:left w:val="nil"/>
          <w:bottom w:val="nil"/>
          <w:right w:val="nil"/>
          <w:between w:val="nil"/>
        </w:pBdr>
        <w:spacing w:line="228" w:lineRule="auto"/>
        <w:ind w:left="730" w:right="364" w:firstLine="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Tham số: tỷ lệ R&amp;D/GDP = </w:t>
      </w:r>
      <w:r>
        <w:rPr>
          <w:rFonts w:ascii="Times New Roman" w:eastAsia="Times New Roman" w:hAnsi="Times New Roman" w:cs="Times New Roman"/>
          <w:b/>
          <w:bCs/>
          <w:color w:val="000000"/>
          <w:sz w:val="28"/>
          <w:szCs w:val="28"/>
        </w:rPr>
        <w:t xml:space="preserve">0,42% </w:t>
      </w:r>
      <w:r>
        <w:rPr>
          <w:rFonts w:ascii="Times New Roman" w:eastAsia="Times New Roman" w:hAnsi="Times New Roman" w:cs="Times New Roman"/>
          <w:color w:val="000000"/>
          <w:sz w:val="28"/>
          <w:szCs w:val="28"/>
        </w:rPr>
        <w:t xml:space="preserve">(tham chiếu số gần nhất phổ biến quốc  tế). </w:t>
      </w:r>
    </w:p>
    <w:p>
      <w:pPr>
        <w:widowControl w:val="0"/>
        <w:pBdr>
          <w:top w:val="nil"/>
          <w:left w:val="nil"/>
          <w:bottom w:val="nil"/>
          <w:right w:val="nil"/>
          <w:between w:val="nil"/>
        </w:pBdr>
        <w:spacing w:before="14" w:line="240" w:lineRule="auto"/>
        <w:ind w:left="1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Đầu tư mạo hiểm (VC) cho khởi nghiệp công nghệ </w:t>
      </w:r>
    </w:p>
    <w:p>
      <w:pPr>
        <w:widowControl w:val="0"/>
        <w:pBdr>
          <w:top w:val="nil"/>
          <w:left w:val="nil"/>
          <w:bottom w:val="nil"/>
          <w:right w:val="nil"/>
          <w:between w:val="nil"/>
        </w:pBdr>
        <w:spacing w:line="229" w:lineRule="auto"/>
        <w:ind w:left="20" w:right="366" w:firstLine="7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Sử dụng giá trị tổng hợp thị trường; lưu ý đây là dòng vốn tài chính cho  ĐMST, không đồng nhất hoàn toàn với “đầu tư tài sản” theo SNA. </w:t>
      </w:r>
      <w:r>
        <w:rPr>
          <w:rFonts w:ascii="Times New Roman" w:eastAsia="Times New Roman" w:hAnsi="Times New Roman" w:cs="Times New Roman"/>
          <w:b/>
          <w:bCs/>
          <w:color w:val="000000"/>
          <w:sz w:val="28"/>
          <w:szCs w:val="28"/>
        </w:rPr>
        <w:t xml:space="preserve">(3) FDI công nghệ cao trong chế biến, chế tạo </w:t>
      </w: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ước tính</w:t>
      </w:r>
      <w:r>
        <w:rPr>
          <w:rFonts w:ascii="Times New Roman" w:eastAsia="Times New Roman" w:hAnsi="Times New Roman" w:cs="Times New Roman"/>
          <w:color w:val="000000"/>
          <w:sz w:val="28"/>
          <w:szCs w:val="28"/>
        </w:rPr>
        <w:t xml:space="preserve">) </w:t>
      </w:r>
    </w:p>
    <w:p>
      <w:pPr>
        <w:widowControl w:val="0"/>
        <w:pBdr>
          <w:top w:val="nil"/>
          <w:left w:val="nil"/>
          <w:bottom w:val="nil"/>
          <w:right w:val="nil"/>
          <w:between w:val="nil"/>
        </w:pBdr>
        <w:spacing w:before="11" w:line="228" w:lineRule="auto"/>
        <w:ind w:left="737" w:right="432" w:hanging="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FDI công nghệ cao = FDI thực hiện chế biến, chế tạo × tỷ lệ “công nghệ cao” </w:t>
      </w:r>
    </w:p>
    <w:p>
      <w:pPr>
        <w:widowControl w:val="0"/>
        <w:pBdr>
          <w:top w:val="nil"/>
          <w:left w:val="nil"/>
          <w:bottom w:val="nil"/>
          <w:right w:val="nil"/>
          <w:between w:val="nil"/>
        </w:pBdr>
        <w:spacing w:before="4" w:line="240" w:lineRule="auto"/>
        <w:ind w:left="7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Tham số: tỷ lệ “công nghệ cao” = </w:t>
      </w:r>
      <w:r>
        <w:rPr>
          <w:rFonts w:ascii="Times New Roman" w:eastAsia="Times New Roman" w:hAnsi="Times New Roman" w:cs="Times New Roman"/>
          <w:b/>
          <w:bCs/>
          <w:color w:val="000000"/>
          <w:sz w:val="28"/>
          <w:szCs w:val="28"/>
        </w:rPr>
        <w:t>55%</w:t>
      </w:r>
      <w:r>
        <w:rPr>
          <w:rFonts w:ascii="Times New Roman" w:eastAsia="Times New Roman" w:hAnsi="Times New Roman" w:cs="Times New Roman"/>
          <w:color w:val="000000"/>
          <w:sz w:val="28"/>
          <w:szCs w:val="28"/>
        </w:rPr>
        <w:t xml:space="preserve">. </w:t>
      </w:r>
    </w:p>
    <w:p>
      <w:pPr>
        <w:widowControl w:val="0"/>
        <w:pBdr>
          <w:top w:val="nil"/>
          <w:left w:val="nil"/>
          <w:bottom w:val="nil"/>
          <w:right w:val="nil"/>
          <w:between w:val="nil"/>
        </w:pBdr>
        <w:spacing w:line="228" w:lineRule="auto"/>
        <w:ind w:left="731" w:right="364" w:hanging="71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Doanh nghiệp trong nước đầu tư sản xuất công nghệ cao </w:t>
      </w: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ước tính</w:t>
      </w:r>
      <w:r>
        <w:rPr>
          <w:rFonts w:ascii="Times New Roman" w:eastAsia="Times New Roman" w:hAnsi="Times New Roman" w:cs="Times New Roman"/>
          <w:color w:val="000000"/>
          <w:sz w:val="28"/>
          <w:szCs w:val="28"/>
        </w:rPr>
        <w:t xml:space="preserve">) Tạm ước tính theo mức thận trọng để phản ánh một phần đầu tư tạo năng lực  sản xuất/thiết bị công nghệ cao trong nước. </w:t>
      </w:r>
    </w:p>
    <w:p>
      <w:pPr>
        <w:widowControl w:val="0"/>
        <w:pBdr>
          <w:top w:val="nil"/>
          <w:left w:val="nil"/>
          <w:bottom w:val="nil"/>
          <w:right w:val="nil"/>
          <w:between w:val="nil"/>
        </w:pBdr>
        <w:spacing w:before="6"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(5) Đầu tư công cho hạ tầng nghiên cứu </w:t>
      </w: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ước tính</w:t>
      </w:r>
      <w:r>
        <w:rPr>
          <w:rFonts w:ascii="Times New Roman" w:eastAsia="Times New Roman" w:hAnsi="Times New Roman" w:cs="Times New Roman"/>
          <w:color w:val="000000"/>
          <w:sz w:val="28"/>
          <w:szCs w:val="28"/>
        </w:rPr>
        <w:t xml:space="preserve">) </w:t>
      </w:r>
    </w:p>
    <w:p>
      <w:pPr>
        <w:widowControl w:val="0"/>
        <w:pBdr>
          <w:top w:val="nil"/>
          <w:left w:val="nil"/>
          <w:bottom w:val="nil"/>
          <w:right w:val="nil"/>
          <w:between w:val="nil"/>
        </w:pBdr>
        <w:spacing w:line="232" w:lineRule="auto"/>
        <w:ind w:left="14" w:right="750" w:firstLine="71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Đầu tư công hạ tầng nghiên cứu = Chi đầu tư phát triển × 3% × 30%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2. Nhóm CĐS </w:t>
      </w:r>
    </w:p>
    <w:p>
      <w:pPr>
        <w:widowControl w:val="0"/>
        <w:pBdr>
          <w:top w:val="nil"/>
          <w:left w:val="nil"/>
          <w:bottom w:val="nil"/>
          <w:right w:val="nil"/>
          <w:between w:val="nil"/>
        </w:pBdr>
        <w:spacing w:before="4" w:line="240" w:lineRule="auto"/>
        <w:ind w:left="1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 Đầu tư hạ tầng viễn thông (CAPEX) </w:t>
      </w:r>
    </w:p>
    <w:p>
      <w:pPr>
        <w:widowControl w:val="0"/>
        <w:pBdr>
          <w:top w:val="nil"/>
          <w:left w:val="nil"/>
          <w:bottom w:val="nil"/>
          <w:right w:val="nil"/>
          <w:between w:val="nil"/>
        </w:pBdr>
        <w:spacing w:line="225" w:lineRule="auto"/>
        <w:ind w:left="731" w:right="670" w:firstLine="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CAPEX viễn thông = Doanh thu dịch vụ viễn thông × cường độ đầu tư </w:t>
      </w:r>
      <w:r>
        <w:rPr>
          <w:rFonts w:ascii="Times New Roman" w:eastAsia="Times New Roman" w:hAnsi="Times New Roman" w:cs="Times New Roman"/>
          <w:color w:val="000000"/>
          <w:sz w:val="28"/>
          <w:szCs w:val="28"/>
        </w:rPr>
        <w:t xml:space="preserve">Tham số cường độ đầu tư = </w:t>
      </w:r>
      <w:r>
        <w:rPr>
          <w:rFonts w:ascii="Times New Roman" w:eastAsia="Times New Roman" w:hAnsi="Times New Roman" w:cs="Times New Roman"/>
          <w:b/>
          <w:bCs/>
          <w:color w:val="000000"/>
          <w:sz w:val="28"/>
          <w:szCs w:val="28"/>
        </w:rPr>
        <w:t xml:space="preserve">17% </w:t>
      </w:r>
      <w:r>
        <w:rPr>
          <w:rFonts w:ascii="Times New Roman" w:eastAsia="Times New Roman" w:hAnsi="Times New Roman" w:cs="Times New Roman"/>
          <w:color w:val="000000"/>
          <w:sz w:val="28"/>
          <w:szCs w:val="28"/>
        </w:rPr>
        <w:t xml:space="preserve">(tham chiếu). </w:t>
      </w:r>
    </w:p>
    <w:p>
      <w:pPr>
        <w:widowControl w:val="0"/>
        <w:pBdr>
          <w:top w:val="nil"/>
          <w:left w:val="nil"/>
          <w:bottom w:val="nil"/>
          <w:right w:val="nil"/>
          <w:between w:val="nil"/>
        </w:pBdr>
        <w:spacing w:before="10"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(7) Đầu tư công cho CĐS khu vực công </w:t>
      </w: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ước tính</w:t>
      </w:r>
      <w:r>
        <w:rPr>
          <w:rFonts w:ascii="Times New Roman" w:eastAsia="Times New Roman" w:hAnsi="Times New Roman" w:cs="Times New Roman"/>
          <w:color w:val="000000"/>
          <w:sz w:val="28"/>
          <w:szCs w:val="28"/>
        </w:rPr>
        <w:t xml:space="preserve">) </w:t>
      </w:r>
    </w:p>
    <w:p>
      <w:pPr>
        <w:widowControl w:val="0"/>
        <w:pBdr>
          <w:top w:val="nil"/>
          <w:left w:val="nil"/>
          <w:bottom w:val="nil"/>
          <w:right w:val="nil"/>
          <w:between w:val="nil"/>
        </w:pBdr>
        <w:spacing w:line="240" w:lineRule="auto"/>
        <w:ind w:left="73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Đầu tư công CĐS = Chi đầu tư phát triển × 3% × 70%</w:t>
      </w:r>
      <w:r>
        <w:rPr>
          <w:rFonts w:ascii="Times New Roman" w:eastAsia="Times New Roman" w:hAnsi="Times New Roman" w:cs="Times New Roman"/>
          <w:color w:val="000000"/>
          <w:sz w:val="28"/>
          <w:szCs w:val="28"/>
        </w:rPr>
        <w:t xml:space="preserve">. </w:t>
      </w:r>
    </w:p>
    <w:p>
      <w:pPr>
        <w:widowControl w:val="0"/>
        <w:pBdr>
          <w:top w:val="nil"/>
          <w:left w:val="nil"/>
          <w:bottom w:val="nil"/>
          <w:right w:val="nil"/>
          <w:between w:val="nil"/>
        </w:pBdr>
        <w:spacing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(8) Đầu tư phần mềm và cơ sở dữ liệu </w:t>
      </w: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ước tính</w:t>
      </w:r>
      <w:r>
        <w:rPr>
          <w:rFonts w:ascii="Times New Roman" w:eastAsia="Times New Roman" w:hAnsi="Times New Roman" w:cs="Times New Roman"/>
          <w:color w:val="000000"/>
          <w:sz w:val="28"/>
          <w:szCs w:val="28"/>
        </w:rPr>
        <w:t xml:space="preserve">) </w:t>
      </w:r>
    </w:p>
    <w:p>
      <w:pPr>
        <w:widowControl w:val="0"/>
        <w:pBdr>
          <w:top w:val="nil"/>
          <w:left w:val="nil"/>
          <w:bottom w:val="nil"/>
          <w:right w:val="nil"/>
          <w:between w:val="nil"/>
        </w:pBdr>
        <w:spacing w:line="240" w:lineRule="auto"/>
        <w:ind w:left="73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Đầu tư phần mềm &amp; cơ sở dữ liệu = GDP × 0,6%</w:t>
      </w:r>
      <w:r>
        <w:rPr>
          <w:rFonts w:ascii="Times New Roman" w:eastAsia="Times New Roman" w:hAnsi="Times New Roman" w:cs="Times New Roman"/>
          <w:color w:val="000000"/>
          <w:sz w:val="28"/>
          <w:szCs w:val="28"/>
        </w:rPr>
        <w:t xml:space="preserve">. </w:t>
      </w:r>
    </w:p>
    <w:p>
      <w:pPr>
        <w:widowControl w:val="0"/>
        <w:pBdr>
          <w:top w:val="nil"/>
          <w:left w:val="nil"/>
          <w:bottom w:val="nil"/>
          <w:right w:val="nil"/>
          <w:between w:val="nil"/>
        </w:pBdr>
        <w:spacing w:line="240" w:lineRule="auto"/>
        <w:ind w:left="1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 Kết quả ước tính năm 2024 </w:t>
      </w:r>
    </w:p>
    <w:p>
      <w:pPr>
        <w:widowControl w:val="0"/>
        <w:pBdr>
          <w:top w:val="nil"/>
          <w:left w:val="nil"/>
          <w:bottom w:val="nil"/>
          <w:right w:val="nil"/>
          <w:between w:val="nil"/>
        </w:pBdr>
        <w:spacing w:line="240" w:lineRule="auto"/>
        <w:ind w:left="2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Tính toán chi tiết theo cấu phần (đơn vị: nghìn tỷ đồng) </w:t>
      </w:r>
    </w:p>
    <w:p>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GERD (R&amp;D toàn xã hội) </w:t>
      </w:r>
    </w:p>
    <w:p>
      <w:pPr>
        <w:widowControl w:val="0"/>
        <w:pBdr>
          <w:top w:val="nil"/>
          <w:left w:val="nil"/>
          <w:bottom w:val="nil"/>
          <w:right w:val="nil"/>
          <w:between w:val="nil"/>
        </w:pBdr>
        <w:spacing w:line="240" w:lineRule="auto"/>
        <w:ind w:left="737"/>
        <w:rPr>
          <w:rFonts w:ascii="Times New Roman" w:eastAsia="Times New Roman" w:hAnsi="Times New Roman" w:cs="Times New Roman"/>
          <w:color w:val="000000"/>
          <w:sz w:val="28"/>
          <w:szCs w:val="28"/>
        </w:rPr>
      </w:pPr>
      <w:r>
        <w:rPr>
          <w:rFonts w:ascii="Gungsuh" w:eastAsia="Gungsuh" w:hAnsi="Gungsuh" w:cs="Gungsuh"/>
          <w:color w:val="000000"/>
          <w:sz w:val="28"/>
          <w:szCs w:val="28"/>
        </w:rPr>
        <w:t>GERD = 11.511,9 × 0,42% = 48,35 ≈ 48,4</w:t>
      </w:r>
    </w:p>
    <w:p>
      <w:pPr>
        <w:widowControl w:val="0"/>
        <w:pBdr>
          <w:top w:val="nil"/>
          <w:left w:val="nil"/>
          <w:bottom w:val="nil"/>
          <w:right w:val="nil"/>
          <w:between w:val="nil"/>
        </w:pBdr>
        <w:spacing w:before="317" w:line="240" w:lineRule="auto"/>
        <w:ind w:left="4629"/>
        <w:rPr>
          <w:color w:val="000000"/>
        </w:rPr>
      </w:pPr>
      <w:r>
        <w:rPr>
          <w:color w:val="000000"/>
        </w:rPr>
        <w:t xml:space="preserve">2 </w:t>
      </w:r>
    </w:p>
    <w:p>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VC cho khởi nghiệp công nghệ </w:t>
      </w:r>
    </w:p>
    <w:p>
      <w:pPr>
        <w:widowControl w:val="0"/>
        <w:pBdr>
          <w:top w:val="nil"/>
          <w:left w:val="nil"/>
          <w:bottom w:val="nil"/>
          <w:right w:val="nil"/>
          <w:between w:val="nil"/>
        </w:pBdr>
        <w:spacing w:line="240" w:lineRule="auto"/>
        <w:ind w:left="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372 triệu USD × 24.200 đồng/USD ≈ 9,00 nghìn tỷ đồng ≈ 9,0 </w:t>
      </w:r>
    </w:p>
    <w:p>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 FDI công nghệ cao trong chế biến, chế tạo (ước tính) </w:t>
      </w:r>
    </w:p>
    <w:p>
      <w:pPr>
        <w:widowControl w:val="0"/>
        <w:pBdr>
          <w:top w:val="nil"/>
          <w:left w:val="nil"/>
          <w:bottom w:val="nil"/>
          <w:right w:val="nil"/>
          <w:between w:val="nil"/>
        </w:pBdr>
        <w:spacing w:line="240" w:lineRule="auto"/>
        <w:ind w:left="7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FDI chế biến, chế tạo: 20,62 tỷ USD </w:t>
      </w:r>
    </w:p>
    <w:p>
      <w:pPr>
        <w:widowControl w:val="0"/>
        <w:pBdr>
          <w:top w:val="nil"/>
          <w:left w:val="nil"/>
          <w:bottom w:val="nil"/>
          <w:right w:val="nil"/>
          <w:between w:val="nil"/>
        </w:pBdr>
        <w:spacing w:line="240" w:lineRule="auto"/>
        <w:ind w:left="7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FDI công nghệ cao (ước tính) = 20,62 × 55% = 11,341 tỷ USD </w:t>
      </w:r>
    </w:p>
    <w:p>
      <w:pPr>
        <w:widowControl w:val="0"/>
        <w:pBdr>
          <w:top w:val="nil"/>
          <w:left w:val="nil"/>
          <w:bottom w:val="nil"/>
          <w:right w:val="nil"/>
          <w:between w:val="nil"/>
        </w:pBdr>
        <w:spacing w:line="240" w:lineRule="auto"/>
        <w:ind w:left="7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Quy đổi = 11,341 × 24.200 ≈ 274,1 nghìn tỷ đồng ≈ 274,1 </w:t>
      </w:r>
    </w:p>
    <w:p>
      <w:pPr>
        <w:widowControl w:val="0"/>
        <w:pBdr>
          <w:top w:val="nil"/>
          <w:left w:val="nil"/>
          <w:bottom w:val="nil"/>
          <w:right w:val="nil"/>
          <w:between w:val="nil"/>
        </w:pBdr>
        <w:spacing w:line="230" w:lineRule="auto"/>
        <w:ind w:left="728" w:right="1872" w:hanging="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Doanh nghiệp trong nước đầu tư sản xuất công nghệ cao (ước tính) Ước tính: 15,0 </w:t>
      </w:r>
    </w:p>
    <w:p>
      <w:pPr>
        <w:widowControl w:val="0"/>
        <w:pBdr>
          <w:top w:val="nil"/>
          <w:left w:val="nil"/>
          <w:bottom w:val="nil"/>
          <w:right w:val="nil"/>
          <w:between w:val="nil"/>
        </w:pBdr>
        <w:spacing w:before="4"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Đầu tư công cho hạ tầng nghiên cứu (ước tính) </w:t>
      </w:r>
    </w:p>
    <w:p>
      <w:pPr>
        <w:widowControl w:val="0"/>
        <w:pBdr>
          <w:top w:val="nil"/>
          <w:left w:val="nil"/>
          <w:bottom w:val="nil"/>
          <w:right w:val="nil"/>
          <w:between w:val="nil"/>
        </w:pBdr>
        <w:spacing w:line="240" w:lineRule="auto"/>
        <w:ind w:left="740"/>
        <w:rPr>
          <w:rFonts w:ascii="Times New Roman" w:eastAsia="Times New Roman" w:hAnsi="Times New Roman" w:cs="Times New Roman"/>
          <w:color w:val="000000"/>
          <w:sz w:val="28"/>
          <w:szCs w:val="28"/>
        </w:rPr>
      </w:pPr>
      <w:r>
        <w:rPr>
          <w:rFonts w:ascii="Gungsuh" w:eastAsia="Gungsuh" w:hAnsi="Gungsuh" w:cs="Gungsuh"/>
          <w:color w:val="000000"/>
          <w:sz w:val="28"/>
          <w:szCs w:val="28"/>
        </w:rPr>
        <w:t xml:space="preserve">529,1 × 3% × 30% = 529,1 × 0,009 = 4,76 ≈ 4,8 </w:t>
      </w:r>
    </w:p>
    <w:p>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CAPEX hạ tầng viễn thông </w:t>
      </w:r>
    </w:p>
    <w:p>
      <w:pPr>
        <w:widowControl w:val="0"/>
        <w:pBdr>
          <w:top w:val="nil"/>
          <w:left w:val="nil"/>
          <w:bottom w:val="nil"/>
          <w:right w:val="nil"/>
          <w:between w:val="nil"/>
        </w:pBdr>
        <w:spacing w:line="240" w:lineRule="auto"/>
        <w:ind w:left="760"/>
        <w:rPr>
          <w:rFonts w:ascii="Times New Roman" w:eastAsia="Times New Roman" w:hAnsi="Times New Roman" w:cs="Times New Roman"/>
          <w:color w:val="000000"/>
          <w:sz w:val="28"/>
          <w:szCs w:val="28"/>
        </w:rPr>
      </w:pPr>
      <w:r>
        <w:rPr>
          <w:rFonts w:ascii="Gungsuh" w:eastAsia="Gungsuh" w:hAnsi="Gungsuh" w:cs="Gungsuh"/>
          <w:color w:val="000000"/>
          <w:sz w:val="28"/>
          <w:szCs w:val="28"/>
        </w:rPr>
        <w:t xml:space="preserve">147,0 × 17% = 24,99 ≈ 25,0 </w:t>
      </w:r>
    </w:p>
    <w:p>
      <w:pPr>
        <w:widowControl w:val="0"/>
        <w:pBdr>
          <w:top w:val="nil"/>
          <w:left w:val="nil"/>
          <w:bottom w:val="nil"/>
          <w:right w:val="nil"/>
          <w:between w:val="nil"/>
        </w:pBdr>
        <w:spacing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Đầu tư công cho CĐS khu vực công (ước tính) </w:t>
      </w:r>
    </w:p>
    <w:p>
      <w:pPr>
        <w:widowControl w:val="0"/>
        <w:pBdr>
          <w:top w:val="nil"/>
          <w:left w:val="nil"/>
          <w:bottom w:val="nil"/>
          <w:right w:val="nil"/>
          <w:between w:val="nil"/>
        </w:pBdr>
        <w:spacing w:line="240" w:lineRule="auto"/>
        <w:ind w:left="740"/>
        <w:rPr>
          <w:rFonts w:ascii="Times New Roman" w:eastAsia="Times New Roman" w:hAnsi="Times New Roman" w:cs="Times New Roman"/>
          <w:color w:val="000000"/>
          <w:sz w:val="28"/>
          <w:szCs w:val="28"/>
        </w:rPr>
      </w:pPr>
      <w:r>
        <w:rPr>
          <w:rFonts w:ascii="Gungsuh" w:eastAsia="Gungsuh" w:hAnsi="Gungsuh" w:cs="Gungsuh"/>
          <w:color w:val="000000"/>
          <w:sz w:val="28"/>
          <w:szCs w:val="28"/>
        </w:rPr>
        <w:t xml:space="preserve">529,1 × 3% × 70% = 529,1 × 0,021 = 11,11 ≈ 11,1 </w:t>
      </w:r>
    </w:p>
    <w:p>
      <w:pPr>
        <w:widowControl w:val="0"/>
        <w:pBdr>
          <w:top w:val="nil"/>
          <w:left w:val="nil"/>
          <w:bottom w:val="nil"/>
          <w:right w:val="nil"/>
          <w:between w:val="nil"/>
        </w:pBdr>
        <w:spacing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Đầu tư phần mềm và cơ sở dữ liệu (ước tính) </w:t>
      </w:r>
    </w:p>
    <w:p>
      <w:pPr>
        <w:widowControl w:val="0"/>
        <w:pBdr>
          <w:top w:val="nil"/>
          <w:left w:val="nil"/>
          <w:bottom w:val="nil"/>
          <w:right w:val="nil"/>
          <w:between w:val="nil"/>
        </w:pBdr>
        <w:spacing w:line="240" w:lineRule="auto"/>
        <w:ind w:left="377"/>
        <w:rPr>
          <w:rFonts w:ascii="Times New Roman" w:eastAsia="Times New Roman" w:hAnsi="Times New Roman" w:cs="Times New Roman"/>
          <w:color w:val="000000"/>
          <w:sz w:val="28"/>
          <w:szCs w:val="28"/>
        </w:rPr>
      </w:pPr>
      <w:r>
        <w:rPr>
          <w:rFonts w:ascii="Noto Sans Symbols" w:eastAsia="Noto Sans Symbols" w:hAnsi="Noto Sans Symbols" w:cs="Noto Sans Symbols"/>
          <w:color w:val="000000"/>
          <w:sz w:val="19"/>
          <w:szCs w:val="19"/>
        </w:rPr>
        <w:t xml:space="preserve">∙ </w:t>
      </w:r>
      <w:r>
        <w:rPr>
          <w:rFonts w:ascii="Gungsuh" w:eastAsia="Gungsuh" w:hAnsi="Gungsuh" w:cs="Gungsuh"/>
          <w:color w:val="000000"/>
          <w:sz w:val="28"/>
          <w:szCs w:val="28"/>
        </w:rPr>
        <w:t xml:space="preserve">11.511,9 × 0,6% = 69,07 ≈ 69,1 </w:t>
      </w:r>
    </w:p>
    <w:p>
      <w:pPr>
        <w:widowControl w:val="0"/>
        <w:pBdr>
          <w:top w:val="nil"/>
          <w:left w:val="nil"/>
          <w:bottom w:val="nil"/>
          <w:right w:val="nil"/>
          <w:between w:val="nil"/>
        </w:pBdr>
        <w:spacing w:before="531" w:line="240" w:lineRule="auto"/>
        <w:ind w:left="1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u w:val="single"/>
        </w:rPr>
        <w:t>. Bảng tổng hợp theo cấu phần (đơn vị: nghìn tỷ đồng)</w:t>
      </w:r>
      <w:r>
        <w:rPr>
          <w:rFonts w:ascii="Times New Roman" w:eastAsia="Times New Roman" w:hAnsi="Times New Roman" w:cs="Times New Roman"/>
          <w:b/>
          <w:bCs/>
          <w:color w:val="000000"/>
          <w:sz w:val="28"/>
          <w:szCs w:val="28"/>
        </w:rPr>
        <w:t xml:space="preserve"> </w:t>
      </w:r>
    </w:p>
    <w:tbl>
      <w:tblPr>
        <w:tblStyle w:val="a"/>
        <w:tblW w:w="9786"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89"/>
        <w:gridCol w:w="2097"/>
      </w:tblGrid>
      <w:tr>
        <w:trPr>
          <w:trHeight w:val="3329"/>
        </w:trPr>
        <w:tc>
          <w:tcPr>
            <w:tcW w:w="7689"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ind w:left="59"/>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Cấu phần </w:t>
            </w:r>
          </w:p>
          <w:p>
            <w:pPr>
              <w:widowControl w:val="0"/>
              <w:pBdr>
                <w:top w:val="nil"/>
                <w:left w:val="nil"/>
                <w:bottom w:val="nil"/>
                <w:right w:val="nil"/>
                <w:between w:val="nil"/>
              </w:pBdr>
              <w:spacing w:before="71" w:line="240" w:lineRule="auto"/>
              <w:ind w:left="59"/>
              <w:rPr>
                <w:rFonts w:ascii="Times New Roman" w:eastAsia="Times New Roman" w:hAnsi="Times New Roman" w:cs="Times New Roman"/>
                <w:color w:val="000000"/>
              </w:rPr>
            </w:pPr>
            <w:r>
              <w:rPr>
                <w:rFonts w:ascii="Times New Roman" w:eastAsia="Times New Roman" w:hAnsi="Times New Roman" w:cs="Times New Roman"/>
                <w:color w:val="000000"/>
              </w:rPr>
              <w:t xml:space="preserve">(1) R&amp;D toàn xã hội (GERD) </w:t>
            </w:r>
          </w:p>
          <w:p>
            <w:pPr>
              <w:widowControl w:val="0"/>
              <w:pBdr>
                <w:top w:val="nil"/>
                <w:left w:val="nil"/>
                <w:bottom w:val="nil"/>
                <w:right w:val="nil"/>
                <w:between w:val="nil"/>
              </w:pBdr>
              <w:spacing w:before="75" w:line="240" w:lineRule="auto"/>
              <w:ind w:left="59"/>
              <w:rPr>
                <w:rFonts w:ascii="Times New Roman" w:eastAsia="Times New Roman" w:hAnsi="Times New Roman" w:cs="Times New Roman"/>
                <w:color w:val="000000"/>
              </w:rPr>
            </w:pPr>
            <w:r>
              <w:rPr>
                <w:rFonts w:ascii="Times New Roman" w:eastAsia="Times New Roman" w:hAnsi="Times New Roman" w:cs="Times New Roman"/>
                <w:color w:val="000000"/>
              </w:rPr>
              <w:t xml:space="preserve">(2) Quỹ đầu tư mạo hiểm (VC) rót cho khởi nghiệp công nghệ </w:t>
            </w:r>
          </w:p>
          <w:p>
            <w:pPr>
              <w:widowControl w:val="0"/>
              <w:pBdr>
                <w:top w:val="nil"/>
                <w:left w:val="nil"/>
                <w:bottom w:val="nil"/>
                <w:right w:val="nil"/>
                <w:between w:val="nil"/>
              </w:pBdr>
              <w:spacing w:before="76" w:line="240" w:lineRule="auto"/>
              <w:ind w:left="59"/>
              <w:rPr>
                <w:rFonts w:ascii="Times New Roman" w:eastAsia="Times New Roman" w:hAnsi="Times New Roman" w:cs="Times New Roman"/>
                <w:color w:val="000000"/>
              </w:rPr>
            </w:pPr>
            <w:r>
              <w:rPr>
                <w:rFonts w:ascii="Times New Roman" w:eastAsia="Times New Roman" w:hAnsi="Times New Roman" w:cs="Times New Roman"/>
                <w:color w:val="000000"/>
              </w:rPr>
              <w:t>(3) FDI công nghệ cao trong chế biến, chế tạo (</w:t>
            </w:r>
            <w:r>
              <w:rPr>
                <w:rFonts w:ascii="Times New Roman" w:eastAsia="Times New Roman" w:hAnsi="Times New Roman" w:cs="Times New Roman"/>
                <w:i/>
                <w:iCs/>
                <w:color w:val="000000"/>
              </w:rPr>
              <w:t>ước tính</w:t>
            </w:r>
            <w:r>
              <w:rPr>
                <w:rFonts w:ascii="Times New Roman" w:eastAsia="Times New Roman" w:hAnsi="Times New Roman" w:cs="Times New Roman"/>
                <w:color w:val="000000"/>
              </w:rPr>
              <w:t xml:space="preserve">) </w:t>
            </w:r>
          </w:p>
          <w:p>
            <w:pPr>
              <w:widowControl w:val="0"/>
              <w:pBdr>
                <w:top w:val="nil"/>
                <w:left w:val="nil"/>
                <w:bottom w:val="nil"/>
                <w:right w:val="nil"/>
                <w:between w:val="nil"/>
              </w:pBdr>
              <w:spacing w:before="73" w:line="302" w:lineRule="auto"/>
              <w:ind w:left="57" w:right="1417" w:firstLine="1"/>
              <w:rPr>
                <w:rFonts w:ascii="Times New Roman" w:eastAsia="Times New Roman" w:hAnsi="Times New Roman" w:cs="Times New Roman"/>
                <w:color w:val="000000"/>
              </w:rPr>
            </w:pPr>
            <w:r>
              <w:rPr>
                <w:rFonts w:ascii="Times New Roman" w:eastAsia="Times New Roman" w:hAnsi="Times New Roman" w:cs="Times New Roman"/>
                <w:color w:val="000000"/>
              </w:rPr>
              <w:t>(4) Doanh nghiệp trong nước đầu tư sản xuất công nghệ cao (</w:t>
            </w:r>
            <w:r>
              <w:rPr>
                <w:rFonts w:ascii="Times New Roman" w:eastAsia="Times New Roman" w:hAnsi="Times New Roman" w:cs="Times New Roman"/>
                <w:i/>
                <w:iCs/>
                <w:color w:val="000000"/>
              </w:rPr>
              <w:t>ước tính</w:t>
            </w:r>
            <w:r>
              <w:rPr>
                <w:rFonts w:ascii="Times New Roman" w:eastAsia="Times New Roman" w:hAnsi="Times New Roman" w:cs="Times New Roman"/>
                <w:color w:val="000000"/>
              </w:rPr>
              <w:t>) (5) Đầu tư công cho hạ tầng nghiên cứu (</w:t>
            </w:r>
            <w:r>
              <w:rPr>
                <w:rFonts w:ascii="Times New Roman" w:eastAsia="Times New Roman" w:hAnsi="Times New Roman" w:cs="Times New Roman"/>
                <w:i/>
                <w:iCs/>
                <w:color w:val="000000"/>
              </w:rPr>
              <w:t>ước tính</w:t>
            </w:r>
            <w:r>
              <w:rPr>
                <w:rFonts w:ascii="Times New Roman" w:eastAsia="Times New Roman" w:hAnsi="Times New Roman" w:cs="Times New Roman"/>
                <w:color w:val="000000"/>
              </w:rPr>
              <w:t xml:space="preserve">) </w:t>
            </w:r>
          </w:p>
          <w:p>
            <w:pPr>
              <w:widowControl w:val="0"/>
              <w:pBdr>
                <w:top w:val="nil"/>
                <w:left w:val="nil"/>
                <w:bottom w:val="nil"/>
                <w:right w:val="nil"/>
                <w:between w:val="nil"/>
              </w:pBdr>
              <w:spacing w:before="18" w:line="240" w:lineRule="auto"/>
              <w:ind w:left="59"/>
              <w:rPr>
                <w:rFonts w:ascii="Times New Roman" w:eastAsia="Times New Roman" w:hAnsi="Times New Roman" w:cs="Times New Roman"/>
                <w:color w:val="000000"/>
              </w:rPr>
            </w:pPr>
            <w:r>
              <w:rPr>
                <w:rFonts w:ascii="Times New Roman" w:eastAsia="Times New Roman" w:hAnsi="Times New Roman" w:cs="Times New Roman"/>
                <w:color w:val="000000"/>
              </w:rPr>
              <w:t xml:space="preserve">(6) Đầu tư hạ tầng viễn thông (CAPEX=17%) </w:t>
            </w:r>
          </w:p>
          <w:p>
            <w:pPr>
              <w:widowControl w:val="0"/>
              <w:pBdr>
                <w:top w:val="nil"/>
                <w:left w:val="nil"/>
                <w:bottom w:val="nil"/>
                <w:right w:val="nil"/>
                <w:between w:val="nil"/>
              </w:pBdr>
              <w:spacing w:before="73" w:line="240" w:lineRule="auto"/>
              <w:ind w:left="57"/>
              <w:rPr>
                <w:rFonts w:ascii="Times New Roman" w:eastAsia="Times New Roman" w:hAnsi="Times New Roman" w:cs="Times New Roman"/>
                <w:color w:val="000000"/>
              </w:rPr>
            </w:pPr>
            <w:r>
              <w:rPr>
                <w:rFonts w:ascii="Times New Roman" w:eastAsia="Times New Roman" w:hAnsi="Times New Roman" w:cs="Times New Roman"/>
                <w:color w:val="000000"/>
              </w:rPr>
              <w:t>(7) Đầu tư công cho CĐS khu vực công (</w:t>
            </w:r>
            <w:r>
              <w:rPr>
                <w:rFonts w:ascii="Times New Roman" w:eastAsia="Times New Roman" w:hAnsi="Times New Roman" w:cs="Times New Roman"/>
                <w:i/>
                <w:iCs/>
                <w:color w:val="000000"/>
              </w:rPr>
              <w:t>ước tính</w:t>
            </w:r>
            <w:r>
              <w:rPr>
                <w:rFonts w:ascii="Times New Roman" w:eastAsia="Times New Roman" w:hAnsi="Times New Roman" w:cs="Times New Roman"/>
                <w:color w:val="000000"/>
              </w:rPr>
              <w:t xml:space="preserve">) </w:t>
            </w:r>
          </w:p>
          <w:p>
            <w:pPr>
              <w:widowControl w:val="0"/>
              <w:pBdr>
                <w:top w:val="nil"/>
                <w:left w:val="nil"/>
                <w:bottom w:val="nil"/>
                <w:right w:val="nil"/>
                <w:between w:val="nil"/>
              </w:pBdr>
              <w:spacing w:before="75" w:line="240" w:lineRule="auto"/>
              <w:ind w:left="57"/>
              <w:rPr>
                <w:rFonts w:ascii="Times New Roman" w:eastAsia="Times New Roman" w:hAnsi="Times New Roman" w:cs="Times New Roman"/>
                <w:color w:val="000000"/>
              </w:rPr>
            </w:pPr>
            <w:r>
              <w:rPr>
                <w:rFonts w:ascii="Times New Roman" w:eastAsia="Times New Roman" w:hAnsi="Times New Roman" w:cs="Times New Roman"/>
                <w:color w:val="000000"/>
              </w:rPr>
              <w:t>(8) Đầu tư phần mềm và cơ sở dữ liệu (</w:t>
            </w:r>
            <w:r>
              <w:rPr>
                <w:rFonts w:ascii="Times New Roman" w:eastAsia="Times New Roman" w:hAnsi="Times New Roman" w:cs="Times New Roman"/>
                <w:i/>
                <w:iCs/>
                <w:color w:val="000000"/>
              </w:rPr>
              <w:t>ước tính</w:t>
            </w:r>
            <w:r>
              <w:rPr>
                <w:rFonts w:ascii="Times New Roman" w:eastAsia="Times New Roman" w:hAnsi="Times New Roman" w:cs="Times New Roman"/>
                <w:color w:val="000000"/>
              </w:rPr>
              <w:t xml:space="preserve">) </w:t>
            </w:r>
          </w:p>
          <w:p>
            <w:pPr>
              <w:widowControl w:val="0"/>
              <w:pBdr>
                <w:top w:val="nil"/>
                <w:left w:val="nil"/>
                <w:bottom w:val="nil"/>
                <w:right w:val="nil"/>
                <w:between w:val="nil"/>
              </w:pBdr>
              <w:spacing w:before="80" w:line="240" w:lineRule="auto"/>
              <w:ind w:left="5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TỔNG CỘNG </w:t>
            </w:r>
          </w:p>
        </w:tc>
        <w:tc>
          <w:tcPr>
            <w:tcW w:w="2097"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ind w:left="29"/>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Ước tính 2024 </w:t>
            </w:r>
          </w:p>
          <w:p>
            <w:pPr>
              <w:widowControl w:val="0"/>
              <w:pBdr>
                <w:top w:val="nil"/>
                <w:left w:val="nil"/>
                <w:bottom w:val="nil"/>
                <w:right w:val="nil"/>
                <w:between w:val="nil"/>
              </w:pBdr>
              <w:spacing w:before="71" w:line="240" w:lineRule="auto"/>
              <w:ind w:left="26"/>
              <w:rPr>
                <w:rFonts w:ascii="Times New Roman" w:eastAsia="Times New Roman" w:hAnsi="Times New Roman" w:cs="Times New Roman"/>
                <w:color w:val="000000"/>
              </w:rPr>
            </w:pPr>
            <w:r>
              <w:rPr>
                <w:rFonts w:ascii="Times New Roman" w:eastAsia="Times New Roman" w:hAnsi="Times New Roman" w:cs="Times New Roman"/>
                <w:color w:val="000000"/>
              </w:rPr>
              <w:t xml:space="preserve">48,4 </w:t>
            </w:r>
          </w:p>
          <w:p>
            <w:pPr>
              <w:widowControl w:val="0"/>
              <w:pBdr>
                <w:top w:val="nil"/>
                <w:left w:val="nil"/>
                <w:bottom w:val="nil"/>
                <w:right w:val="nil"/>
                <w:between w:val="nil"/>
              </w:pBdr>
              <w:spacing w:before="75" w:line="240" w:lineRule="auto"/>
              <w:ind w:left="30"/>
              <w:rPr>
                <w:rFonts w:ascii="Times New Roman" w:eastAsia="Times New Roman" w:hAnsi="Times New Roman" w:cs="Times New Roman"/>
                <w:color w:val="000000"/>
              </w:rPr>
            </w:pPr>
            <w:r>
              <w:rPr>
                <w:rFonts w:ascii="Times New Roman" w:eastAsia="Times New Roman" w:hAnsi="Times New Roman" w:cs="Times New Roman"/>
                <w:color w:val="000000"/>
              </w:rPr>
              <w:t xml:space="preserve">9,0 </w:t>
            </w:r>
          </w:p>
          <w:p>
            <w:pPr>
              <w:widowControl w:val="0"/>
              <w:pBdr>
                <w:top w:val="nil"/>
                <w:left w:val="nil"/>
                <w:bottom w:val="nil"/>
                <w:right w:val="nil"/>
                <w:between w:val="nil"/>
              </w:pBdr>
              <w:spacing w:before="76" w:line="240" w:lineRule="auto"/>
              <w:ind w:left="30"/>
              <w:rPr>
                <w:rFonts w:ascii="Times New Roman" w:eastAsia="Times New Roman" w:hAnsi="Times New Roman" w:cs="Times New Roman"/>
                <w:color w:val="000000"/>
              </w:rPr>
            </w:pPr>
            <w:r>
              <w:rPr>
                <w:rFonts w:ascii="Times New Roman" w:eastAsia="Times New Roman" w:hAnsi="Times New Roman" w:cs="Times New Roman"/>
                <w:color w:val="000000"/>
              </w:rPr>
              <w:t xml:space="preserve">274,1 </w:t>
            </w:r>
          </w:p>
          <w:p>
            <w:pPr>
              <w:widowControl w:val="0"/>
              <w:pBdr>
                <w:top w:val="nil"/>
                <w:left w:val="nil"/>
                <w:bottom w:val="nil"/>
                <w:right w:val="nil"/>
                <w:between w:val="nil"/>
              </w:pBdr>
              <w:spacing w:before="73" w:line="240" w:lineRule="auto"/>
              <w:ind w:left="48"/>
              <w:rPr>
                <w:rFonts w:ascii="Times New Roman" w:eastAsia="Times New Roman" w:hAnsi="Times New Roman" w:cs="Times New Roman"/>
                <w:color w:val="000000"/>
              </w:rPr>
            </w:pPr>
            <w:r>
              <w:rPr>
                <w:rFonts w:ascii="Times New Roman" w:eastAsia="Times New Roman" w:hAnsi="Times New Roman" w:cs="Times New Roman"/>
                <w:color w:val="000000"/>
              </w:rPr>
              <w:t xml:space="preserve">15,0 </w:t>
            </w:r>
          </w:p>
          <w:p>
            <w:pPr>
              <w:widowControl w:val="0"/>
              <w:pBdr>
                <w:top w:val="nil"/>
                <w:left w:val="nil"/>
                <w:bottom w:val="nil"/>
                <w:right w:val="nil"/>
                <w:between w:val="nil"/>
              </w:pBdr>
              <w:spacing w:before="75" w:line="240" w:lineRule="auto"/>
              <w:ind w:left="26"/>
              <w:rPr>
                <w:rFonts w:ascii="Times New Roman" w:eastAsia="Times New Roman" w:hAnsi="Times New Roman" w:cs="Times New Roman"/>
                <w:color w:val="000000"/>
              </w:rPr>
            </w:pPr>
            <w:r>
              <w:rPr>
                <w:rFonts w:ascii="Times New Roman" w:eastAsia="Times New Roman" w:hAnsi="Times New Roman" w:cs="Times New Roman"/>
                <w:color w:val="000000"/>
              </w:rPr>
              <w:t xml:space="preserve">4,8 </w:t>
            </w:r>
          </w:p>
          <w:p>
            <w:pPr>
              <w:widowControl w:val="0"/>
              <w:pBdr>
                <w:top w:val="nil"/>
                <w:left w:val="nil"/>
                <w:bottom w:val="nil"/>
                <w:right w:val="nil"/>
                <w:between w:val="nil"/>
              </w:pBdr>
              <w:spacing w:before="75" w:line="240" w:lineRule="auto"/>
              <w:ind w:left="30"/>
              <w:rPr>
                <w:rFonts w:ascii="Times New Roman" w:eastAsia="Times New Roman" w:hAnsi="Times New Roman" w:cs="Times New Roman"/>
                <w:color w:val="000000"/>
              </w:rPr>
            </w:pPr>
            <w:r>
              <w:rPr>
                <w:rFonts w:ascii="Times New Roman" w:eastAsia="Times New Roman" w:hAnsi="Times New Roman" w:cs="Times New Roman"/>
                <w:color w:val="000000"/>
              </w:rPr>
              <w:t xml:space="preserve">25,0 </w:t>
            </w:r>
          </w:p>
          <w:p>
            <w:pPr>
              <w:widowControl w:val="0"/>
              <w:pBdr>
                <w:top w:val="nil"/>
                <w:left w:val="nil"/>
                <w:bottom w:val="nil"/>
                <w:right w:val="nil"/>
                <w:between w:val="nil"/>
              </w:pBdr>
              <w:spacing w:before="73" w:line="240" w:lineRule="auto"/>
              <w:ind w:left="48"/>
              <w:rPr>
                <w:rFonts w:ascii="Times New Roman" w:eastAsia="Times New Roman" w:hAnsi="Times New Roman" w:cs="Times New Roman"/>
                <w:color w:val="000000"/>
              </w:rPr>
            </w:pPr>
            <w:r>
              <w:rPr>
                <w:rFonts w:ascii="Times New Roman" w:eastAsia="Times New Roman" w:hAnsi="Times New Roman" w:cs="Times New Roman"/>
                <w:color w:val="000000"/>
              </w:rPr>
              <w:t xml:space="preserve">11,1 </w:t>
            </w:r>
          </w:p>
          <w:p>
            <w:pPr>
              <w:widowControl w:val="0"/>
              <w:pBdr>
                <w:top w:val="nil"/>
                <w:left w:val="nil"/>
                <w:bottom w:val="nil"/>
                <w:right w:val="nil"/>
                <w:between w:val="nil"/>
              </w:pBdr>
              <w:spacing w:before="75" w:line="240" w:lineRule="auto"/>
              <w:ind w:left="33"/>
              <w:rPr>
                <w:rFonts w:ascii="Times New Roman" w:eastAsia="Times New Roman" w:hAnsi="Times New Roman" w:cs="Times New Roman"/>
                <w:color w:val="000000"/>
              </w:rPr>
            </w:pPr>
            <w:r>
              <w:rPr>
                <w:rFonts w:ascii="Times New Roman" w:eastAsia="Times New Roman" w:hAnsi="Times New Roman" w:cs="Times New Roman"/>
                <w:color w:val="000000"/>
              </w:rPr>
              <w:t xml:space="preserve">69,1 </w:t>
            </w:r>
          </w:p>
          <w:p>
            <w:pPr>
              <w:widowControl w:val="0"/>
              <w:pBdr>
                <w:top w:val="nil"/>
                <w:left w:val="nil"/>
                <w:bottom w:val="nil"/>
                <w:right w:val="nil"/>
                <w:between w:val="nil"/>
              </w:pBdr>
              <w:spacing w:before="80" w:line="240" w:lineRule="auto"/>
              <w:ind w:left="28"/>
              <w:rPr>
                <w:rFonts w:ascii="Times New Roman" w:eastAsia="Times New Roman" w:hAnsi="Times New Roman" w:cs="Times New Roman"/>
                <w:b/>
                <w:bCs/>
                <w:color w:val="000000"/>
              </w:rPr>
            </w:pPr>
            <w:r>
              <w:rPr>
                <w:rFonts w:ascii="Times New Roman" w:eastAsia="Times New Roman" w:hAnsi="Times New Roman" w:cs="Times New Roman"/>
                <w:b/>
                <w:bCs/>
                <w:color w:val="000000"/>
              </w:rPr>
              <w:t>456,4</w:t>
            </w:r>
          </w:p>
        </w:tc>
      </w:tr>
    </w:tbl>
    <w:p>
      <w:pPr>
        <w:widowControl w:val="0"/>
        <w:pBdr>
          <w:top w:val="nil"/>
          <w:left w:val="nil"/>
          <w:bottom w:val="nil"/>
          <w:right w:val="nil"/>
          <w:between w:val="nil"/>
        </w:pBdr>
        <w:rPr>
          <w:color w:val="000000"/>
        </w:rPr>
      </w:pPr>
    </w:p>
    <w:p>
      <w:pPr>
        <w:widowControl w:val="0"/>
        <w:pBdr>
          <w:top w:val="nil"/>
          <w:left w:val="nil"/>
          <w:bottom w:val="nil"/>
          <w:right w:val="nil"/>
          <w:between w:val="nil"/>
        </w:pBdr>
        <w:rPr>
          <w:color w:val="000000"/>
        </w:rPr>
      </w:pPr>
    </w:p>
    <w:p>
      <w:pPr>
        <w:widowControl w:val="0"/>
        <w:pBdr>
          <w:top w:val="nil"/>
          <w:left w:val="nil"/>
          <w:bottom w:val="nil"/>
          <w:right w:val="nil"/>
          <w:between w:val="nil"/>
        </w:pBdr>
        <w:spacing w:line="24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2. Tổng hợp theo nhóm lĩnh vực </w:t>
      </w:r>
    </w:p>
    <w:p>
      <w:pPr>
        <w:widowControl w:val="0"/>
        <w:pBdr>
          <w:top w:val="nil"/>
          <w:left w:val="nil"/>
          <w:bottom w:val="nil"/>
          <w:right w:val="nil"/>
          <w:between w:val="nil"/>
        </w:pBdr>
        <w:spacing w:line="229" w:lineRule="auto"/>
        <w:ind w:left="10" w:right="370" w:firstLine="727"/>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Nhóm KHCN – ĐMST</w:t>
      </w:r>
      <w:r>
        <w:rPr>
          <w:rFonts w:ascii="Times New Roman" w:eastAsia="Times New Roman" w:hAnsi="Times New Roman" w:cs="Times New Roman"/>
          <w:color w:val="000000"/>
          <w:sz w:val="28"/>
          <w:szCs w:val="28"/>
        </w:rPr>
        <w:t xml:space="preserve">: (1)+(2)+(3)+(4)+(5) = 48,4 + 9,0 + 274,1 + 15,0 +  4,8 = </w:t>
      </w:r>
      <w:r>
        <w:rPr>
          <w:rFonts w:ascii="Times New Roman" w:eastAsia="Times New Roman" w:hAnsi="Times New Roman" w:cs="Times New Roman"/>
          <w:b/>
          <w:bCs/>
          <w:color w:val="000000"/>
          <w:sz w:val="28"/>
          <w:szCs w:val="28"/>
        </w:rPr>
        <w:t xml:space="preserve">351,3 </w:t>
      </w:r>
      <w:r>
        <w:rPr>
          <w:rFonts w:ascii="Gungsuh" w:eastAsia="Gungsuh" w:hAnsi="Gungsuh" w:cs="Gungsuh"/>
          <w:color w:val="000000"/>
          <w:sz w:val="28"/>
          <w:szCs w:val="28"/>
        </w:rPr>
        <w:t xml:space="preserve">≈ </w:t>
      </w:r>
      <w:r>
        <w:rPr>
          <w:rFonts w:ascii="Times New Roman" w:eastAsia="Times New Roman" w:hAnsi="Times New Roman" w:cs="Times New Roman"/>
          <w:b/>
          <w:bCs/>
          <w:color w:val="000000"/>
          <w:sz w:val="28"/>
          <w:szCs w:val="28"/>
        </w:rPr>
        <w:t xml:space="preserve">351,2 nghìn tỷ đồng </w:t>
      </w:r>
    </w:p>
    <w:p>
      <w:pPr>
        <w:widowControl w:val="0"/>
        <w:pBdr>
          <w:top w:val="nil"/>
          <w:left w:val="nil"/>
          <w:bottom w:val="nil"/>
          <w:right w:val="nil"/>
          <w:between w:val="nil"/>
        </w:pBdr>
        <w:spacing w:before="6" w:line="228" w:lineRule="auto"/>
        <w:ind w:left="738" w:right="1091"/>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Nhóm CĐS</w:t>
      </w:r>
      <w:r>
        <w:rPr>
          <w:rFonts w:ascii="Times New Roman" w:eastAsia="Times New Roman" w:hAnsi="Times New Roman" w:cs="Times New Roman"/>
          <w:color w:val="000000"/>
          <w:sz w:val="28"/>
          <w:szCs w:val="28"/>
        </w:rPr>
        <w:t xml:space="preserve">: (6)+(7)+(8) = 25,0 + 11,1 + 69,1 = </w:t>
      </w:r>
      <w:r>
        <w:rPr>
          <w:rFonts w:ascii="Times New Roman" w:eastAsia="Times New Roman" w:hAnsi="Times New Roman" w:cs="Times New Roman"/>
          <w:b/>
          <w:bCs/>
          <w:color w:val="000000"/>
          <w:sz w:val="28"/>
          <w:szCs w:val="28"/>
        </w:rPr>
        <w:t xml:space="preserve">105,2 nghìn tỷ đồng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Tổng cộng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456,4 nghìn tỷ đồng </w:t>
      </w:r>
    </w:p>
    <w:p>
      <w:pPr>
        <w:widowControl w:val="0"/>
        <w:pBdr>
          <w:top w:val="nil"/>
          <w:left w:val="nil"/>
          <w:bottom w:val="nil"/>
          <w:right w:val="nil"/>
          <w:between w:val="nil"/>
        </w:pBdr>
        <w:spacing w:before="6" w:line="230" w:lineRule="auto"/>
        <w:ind w:left="15" w:right="365" w:firstLine="7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Tương đương khoảng 12,4% tổng vốn đầu tư thực hiện toàn xã hội năm  2024. </w:t>
      </w:r>
    </w:p>
    <w:p>
      <w:pPr>
        <w:widowControl w:val="0"/>
        <w:pBdr>
          <w:top w:val="nil"/>
          <w:left w:val="nil"/>
          <w:bottom w:val="nil"/>
          <w:right w:val="nil"/>
          <w:between w:val="nil"/>
        </w:pBdr>
        <w:spacing w:before="4" w:line="240" w:lineRule="auto"/>
        <w:ind w:left="7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Tương đương khoảng 4,0% GDP danh nghĩa năm 2024. </w:t>
      </w:r>
    </w:p>
    <w:p>
      <w:pPr>
        <w:widowControl w:val="0"/>
        <w:pBdr>
          <w:top w:val="nil"/>
          <w:left w:val="nil"/>
          <w:bottom w:val="nil"/>
          <w:right w:val="nil"/>
          <w:between w:val="nil"/>
        </w:pBdr>
        <w:spacing w:line="228" w:lineRule="auto"/>
        <w:ind w:left="10" w:right="366" w:firstLine="72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Lưu ý: Các tỷ trọng nêu trên phục vụ đối chiếu quy mô và điều hành; không  thay thế số liệu thống kê chính thức theo ngành/lĩnh vực. </w:t>
      </w:r>
    </w:p>
    <w:p>
      <w:pPr>
        <w:widowControl w:val="0"/>
        <w:pBdr>
          <w:top w:val="nil"/>
          <w:left w:val="nil"/>
          <w:bottom w:val="nil"/>
          <w:right w:val="nil"/>
          <w:between w:val="nil"/>
        </w:pBdr>
        <w:spacing w:before="14" w:line="240" w:lineRule="auto"/>
        <w:ind w:left="1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3. Cơ cấu theo nguồn vốn (quy chiếu) </w:t>
      </w:r>
    </w:p>
    <w:p>
      <w:pPr>
        <w:widowControl w:val="0"/>
        <w:pBdr>
          <w:top w:val="nil"/>
          <w:left w:val="nil"/>
          <w:bottom w:val="nil"/>
          <w:right w:val="nil"/>
          <w:between w:val="nil"/>
        </w:pBdr>
        <w:spacing w:line="228" w:lineRule="auto"/>
        <w:ind w:left="10" w:right="364" w:firstLine="72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Báo cáo tạm quy chiếu cơ cấu nguồn vốn như sau (không phải là phân loại  thống kê chính thức): </w:t>
      </w:r>
    </w:p>
    <w:p>
      <w:pPr>
        <w:widowControl w:val="0"/>
        <w:pBdr>
          <w:top w:val="nil"/>
          <w:left w:val="nil"/>
          <w:bottom w:val="nil"/>
          <w:right w:val="nil"/>
          <w:between w:val="nil"/>
        </w:pBdr>
        <w:spacing w:before="9" w:line="240" w:lineRule="auto"/>
        <w:ind w:left="736"/>
        <w:rPr>
          <w:color w:val="000000"/>
        </w:rPr>
      </w:pPr>
      <w:r>
        <w:rPr>
          <w:rFonts w:ascii="Times New Roman" w:eastAsia="Times New Roman" w:hAnsi="Times New Roman" w:cs="Times New Roman"/>
          <w:color w:val="000000"/>
          <w:sz w:val="28"/>
          <w:szCs w:val="28"/>
        </w:rPr>
        <w:t>Khu vực FDI: ~274,1 nghìn tỷ đồng</w:t>
      </w:r>
    </w:p>
    <w:p>
      <w:pPr>
        <w:widowControl w:val="0"/>
        <w:pBdr>
          <w:top w:val="nil"/>
          <w:left w:val="nil"/>
          <w:bottom w:val="nil"/>
          <w:right w:val="nil"/>
          <w:between w:val="nil"/>
        </w:pBdr>
        <w:spacing w:line="229" w:lineRule="auto"/>
        <w:ind w:left="8" w:right="364" w:firstLine="7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Khu vực trong nước (doanh nghiệp + xã hội): ~139,3 nghìn tỷ đồng (gồm  phần mềm/cơ sở dữ liệu, hạ tầng viễn thông, Quỹ đầu tư mạo hiểm VC, một phần  R&amp;D </w:t>
      </w:r>
      <w:r>
        <w:rPr>
          <w:rFonts w:ascii="Times New Roman" w:eastAsia="Times New Roman" w:hAnsi="Times New Roman" w:cs="Times New Roman"/>
          <w:color w:val="000000"/>
          <w:sz w:val="28"/>
          <w:szCs w:val="28"/>
        </w:rPr>
        <w:lastRenderedPageBreak/>
        <w:t xml:space="preserve">và đầu tư công nghệ cao trong nước) </w:t>
      </w:r>
    </w:p>
    <w:p>
      <w:pPr>
        <w:widowControl w:val="0"/>
        <w:pBdr>
          <w:top w:val="nil"/>
          <w:left w:val="nil"/>
          <w:bottom w:val="nil"/>
          <w:right w:val="nil"/>
          <w:between w:val="nil"/>
        </w:pBdr>
        <w:spacing w:before="5" w:line="228" w:lineRule="auto"/>
        <w:ind w:left="8" w:right="364" w:firstLine="7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Khu vực Nhà nước (đầu tư công/hạ tầng nghiên cứu, CĐS khu vực công và  phần R&amp;D khu vực công trong GERD): phần này đã được phản ánh qua các cấu  phần (1), (5), (7). </w:t>
      </w:r>
    </w:p>
    <w:p>
      <w:pPr>
        <w:widowControl w:val="0"/>
        <w:pBdr>
          <w:top w:val="nil"/>
          <w:left w:val="nil"/>
          <w:bottom w:val="nil"/>
          <w:right w:val="nil"/>
          <w:between w:val="nil"/>
        </w:pBdr>
        <w:spacing w:before="11" w:line="240" w:lineRule="auto"/>
        <w:ind w:left="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VII. Đánh giá sơ bộ về “làm thuê” và “tự làm, làm chủ” </w:t>
      </w:r>
    </w:p>
    <w:p>
      <w:pPr>
        <w:widowControl w:val="0"/>
        <w:pBdr>
          <w:top w:val="nil"/>
          <w:left w:val="nil"/>
          <w:bottom w:val="nil"/>
          <w:right w:val="nil"/>
          <w:between w:val="nil"/>
        </w:pBdr>
        <w:spacing w:line="240" w:lineRule="auto"/>
        <w:ind w:left="8"/>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1. Cách tiếp cận theo chủ sở hữu vốn (ownership-based): </w:t>
      </w:r>
    </w:p>
    <w:p>
      <w:pPr>
        <w:widowControl w:val="0"/>
        <w:pBdr>
          <w:top w:val="nil"/>
          <w:left w:val="nil"/>
          <w:bottom w:val="nil"/>
          <w:right w:val="nil"/>
          <w:between w:val="nil"/>
        </w:pBdr>
        <w:spacing w:line="228" w:lineRule="auto"/>
        <w:ind w:left="11" w:right="364"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nguồn lực do FDI chi phối (tạm coi là “làm thuê” theo nghĩa phụ thuộc  ngoại lực): khoảng 274,1 nghìn tỷ đồng, tương đương ~60,1% tổng ước tính. Phần nguồn lực do khu vực trong nước (tạm coi là “tự làm, làm chủ”): khoảng  182,3 nghìn tỷ đồng, tương đương ~39,9%. </w:t>
      </w:r>
    </w:p>
    <w:p>
      <w:pPr>
        <w:widowControl w:val="0"/>
        <w:pBdr>
          <w:top w:val="nil"/>
          <w:left w:val="nil"/>
          <w:bottom w:val="nil"/>
          <w:right w:val="nil"/>
          <w:between w:val="nil"/>
        </w:pBdr>
        <w:spacing w:before="14" w:line="227" w:lineRule="auto"/>
        <w:ind w:right="364" w:hanging="8"/>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2. Cách tiếp cận theo giá trị gia tăng nội địa (value-added-based): </w:t>
      </w:r>
      <w:r>
        <w:rPr>
          <w:rFonts w:ascii="Times New Roman" w:eastAsia="Times New Roman" w:hAnsi="Times New Roman" w:cs="Times New Roman"/>
          <w:color w:val="000000"/>
          <w:sz w:val="28"/>
          <w:szCs w:val="28"/>
        </w:rPr>
        <w:t xml:space="preserve">Cách tiếp cận này phản ánh đúng bản chất “làm chủ” hơn, nhưng hiện thiếu  bộ số liệu cập nhật và phân tổ theo ngành năm; do đó chỉ nên dùng như phân tích  kịch bản. </w:t>
      </w:r>
    </w:p>
    <w:p>
      <w:pPr>
        <w:widowControl w:val="0"/>
        <w:pBdr>
          <w:top w:val="nil"/>
          <w:left w:val="nil"/>
          <w:bottom w:val="nil"/>
          <w:right w:val="nil"/>
          <w:between w:val="nil"/>
        </w:pBdr>
        <w:spacing w:before="12" w:line="240" w:lineRule="auto"/>
        <w:ind w:left="1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VIII. Khuyến cáo về kết quả </w:t>
      </w:r>
    </w:p>
    <w:p>
      <w:pPr>
        <w:widowControl w:val="0"/>
        <w:pBdr>
          <w:top w:val="nil"/>
          <w:left w:val="nil"/>
          <w:bottom w:val="nil"/>
          <w:right w:val="nil"/>
          <w:between w:val="nil"/>
        </w:pBdr>
        <w:spacing w:before="89" w:line="251" w:lineRule="auto"/>
        <w:ind w:left="14" w:right="3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số liệu, kết quả trong Báo cáo này phù hợp dùng cho tham mưu điều hành, xây  dựng kịch bản, định hướng ưu tiên chính sách.</w:t>
      </w:r>
    </w:p>
    <w:p>
      <w:pPr>
        <w:widowControl w:val="0"/>
        <w:pBdr>
          <w:top w:val="nil"/>
          <w:left w:val="nil"/>
          <w:bottom w:val="nil"/>
          <w:right w:val="nil"/>
          <w:between w:val="nil"/>
        </w:pBdr>
        <w:spacing w:before="8223" w:line="240" w:lineRule="auto"/>
        <w:ind w:left="4628"/>
        <w:rPr>
          <w:color w:val="000000"/>
        </w:rPr>
      </w:pPr>
      <w:r>
        <w:rPr>
          <w:color w:val="000000"/>
        </w:rPr>
        <w:t xml:space="preserve">4 </w:t>
      </w:r>
    </w:p>
    <w:sectPr>
      <w:pgSz w:w="11900" w:h="16840"/>
      <w:pgMar w:top="1106" w:right="406" w:bottom="1020" w:left="169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5F4A54A-779B-4883-96A7-25B8225D8649}"/>
  </w:font>
  <w:font w:name="Segoe UI">
    <w:panose1 w:val="020B0502040204020203"/>
    <w:charset w:val="00"/>
    <w:family w:val="swiss"/>
    <w:pitch w:val="variable"/>
    <w:sig w:usb0="E4002EFF" w:usb1="C000E47F" w:usb2="00000009" w:usb3="00000000" w:csb0="000001FF" w:csb1="00000000"/>
    <w:embedRegular r:id="rId2" w:fontKey="{918B4555-04CF-42BA-AAD5-651400D0543A}"/>
  </w:font>
  <w:font w:name="Gungsuh">
    <w:altName w:val="Times New Roman"/>
    <w:charset w:val="00"/>
    <w:family w:val="auto"/>
    <w:pitch w:val="default"/>
  </w:font>
  <w:font w:name="Noto Sans Symbols">
    <w:charset w:val="00"/>
    <w:family w:val="auto"/>
    <w:pitch w:val="default"/>
    <w:embedRegular r:id="rId3" w:fontKey="{F9AA21E3-FDE7-4498-8A20-18D2A8D13FED}"/>
  </w:font>
  <w:font w:name="Calibri">
    <w:panose1 w:val="020F0502020204030204"/>
    <w:charset w:val="00"/>
    <w:family w:val="swiss"/>
    <w:pitch w:val="variable"/>
    <w:sig w:usb0="E0002AFF" w:usb1="4000ACFF" w:usb2="00000001" w:usb3="00000000" w:csb0="000001FF" w:csb1="00000000"/>
    <w:embedRegular r:id="rId4" w:fontKey="{727DCA8C-2CD1-4A78-A2AB-B5765BA1AAC0}"/>
  </w:font>
  <w:font w:name="Cambria">
    <w:panose1 w:val="02040503050406030204"/>
    <w:charset w:val="00"/>
    <w:family w:val="roman"/>
    <w:pitch w:val="variable"/>
    <w:sig w:usb0="E00006FF" w:usb1="420024FF" w:usb2="02000000" w:usb3="00000000" w:csb0="0000019F" w:csb1="00000000"/>
    <w:embedRegular r:id="rId5" w:fontKey="{089505A1-E107-4E97-807A-CB2871ED8E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A3AD86-0AE6-4F17-9299-261CFE45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2025-12-24T09:49:00Z</cp:lastPrinted>
  <dcterms:created xsi:type="dcterms:W3CDTF">2025-12-24T09:50:00Z</dcterms:created>
  <dcterms:modified xsi:type="dcterms:W3CDTF">2025-12-24T09:50:00Z</dcterms:modified>
</cp:coreProperties>
</file>